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0821" w14:textId="77777777" w:rsidR="00EC03A5" w:rsidRPr="007A4A8C" w:rsidRDefault="00EC03A5" w:rsidP="007A4A8C">
      <w:pPr>
        <w:spacing w:after="0"/>
        <w:rPr>
          <w:b/>
        </w:rPr>
      </w:pPr>
    </w:p>
    <w:p w14:paraId="51C9917B" w14:textId="77777777" w:rsidR="00F57E01" w:rsidRDefault="00DC4C91" w:rsidP="00826F9F">
      <w:pPr>
        <w:pStyle w:val="ListParagraph"/>
        <w:numPr>
          <w:ilvl w:val="0"/>
          <w:numId w:val="1"/>
        </w:numPr>
        <w:spacing w:after="0"/>
      </w:pPr>
      <w:r w:rsidRPr="001B67BE">
        <w:t>Working group n</w:t>
      </w:r>
      <w:r w:rsidR="000B01A4" w:rsidRPr="001B67BE">
        <w:t>ame:</w:t>
      </w:r>
      <w:r w:rsidR="00826F9F" w:rsidRPr="001B67BE">
        <w:t xml:space="preserve">  </w:t>
      </w:r>
    </w:p>
    <w:p w14:paraId="583FD608" w14:textId="77777777" w:rsidR="00316860" w:rsidRPr="001B67BE" w:rsidRDefault="00316860" w:rsidP="00316860">
      <w:pPr>
        <w:pStyle w:val="ListParagraph"/>
        <w:spacing w:after="0"/>
        <w:ind w:left="900"/>
      </w:pPr>
    </w:p>
    <w:p w14:paraId="5741F716" w14:textId="593B44C1" w:rsidR="00826F9F" w:rsidRPr="001B67BE" w:rsidRDefault="00826F9F" w:rsidP="00316860">
      <w:pPr>
        <w:spacing w:after="0"/>
        <w:ind w:left="900"/>
        <w:rPr>
          <w:i/>
          <w:color w:val="2E74B5" w:themeColor="accent1" w:themeShade="BF"/>
        </w:rPr>
      </w:pPr>
      <w:r w:rsidRPr="001B67BE">
        <w:rPr>
          <w:i/>
          <w:color w:val="2E74B5" w:themeColor="accent1" w:themeShade="BF"/>
        </w:rPr>
        <w:t>Taxation/Revenue/Regulatory Structure Working Group</w:t>
      </w:r>
    </w:p>
    <w:p w14:paraId="007881C2" w14:textId="77777777" w:rsidR="000B01A4" w:rsidRPr="001B67BE" w:rsidRDefault="000B01A4" w:rsidP="000B01A4">
      <w:pPr>
        <w:spacing w:after="0"/>
        <w:rPr>
          <w:i/>
        </w:rPr>
      </w:pPr>
    </w:p>
    <w:p w14:paraId="5B539446" w14:textId="77777777" w:rsidR="00F57E01" w:rsidRDefault="00DC4C91" w:rsidP="007A4A8C">
      <w:pPr>
        <w:pStyle w:val="ListParagraph"/>
        <w:numPr>
          <w:ilvl w:val="0"/>
          <w:numId w:val="1"/>
        </w:numPr>
        <w:spacing w:after="0"/>
      </w:pPr>
      <w:r w:rsidRPr="001B67BE">
        <w:t>Individual s</w:t>
      </w:r>
      <w:r w:rsidR="007746E2" w:rsidRPr="001B67BE">
        <w:t xml:space="preserve">ponsor(s): </w:t>
      </w:r>
    </w:p>
    <w:p w14:paraId="2402D397" w14:textId="77777777" w:rsidR="00316860" w:rsidRPr="001B67BE" w:rsidRDefault="00316860" w:rsidP="00316860">
      <w:pPr>
        <w:pStyle w:val="ListParagraph"/>
        <w:spacing w:after="0"/>
        <w:ind w:left="900"/>
      </w:pPr>
    </w:p>
    <w:p w14:paraId="410E157B" w14:textId="4CCF9E8A" w:rsidR="00316860" w:rsidRDefault="00826F9F" w:rsidP="00316860">
      <w:pPr>
        <w:spacing w:after="0"/>
        <w:ind w:left="1080" w:hanging="180"/>
        <w:rPr>
          <w:i/>
          <w:color w:val="2E74B5" w:themeColor="accent1" w:themeShade="BF"/>
        </w:rPr>
      </w:pPr>
      <w:r w:rsidRPr="001B67BE">
        <w:rPr>
          <w:i/>
        </w:rPr>
        <w:t xml:space="preserve"> </w:t>
      </w:r>
      <w:r w:rsidRPr="001B67BE">
        <w:rPr>
          <w:i/>
          <w:color w:val="2E74B5" w:themeColor="accent1" w:themeShade="BF"/>
        </w:rPr>
        <w:t>J</w:t>
      </w:r>
      <w:r w:rsidR="00316860">
        <w:rPr>
          <w:i/>
          <w:color w:val="2E74B5" w:themeColor="accent1" w:themeShade="BF"/>
        </w:rPr>
        <w:t>ennifer</w:t>
      </w:r>
      <w:r w:rsidRPr="001B67BE">
        <w:rPr>
          <w:i/>
          <w:color w:val="2E74B5" w:themeColor="accent1" w:themeShade="BF"/>
        </w:rPr>
        <w:t xml:space="preserve"> Wilcox</w:t>
      </w:r>
      <w:r w:rsidR="00316860">
        <w:rPr>
          <w:i/>
          <w:color w:val="2E74B5" w:themeColor="accent1" w:themeShade="BF"/>
        </w:rPr>
        <w:t xml:space="preserve">, </w:t>
      </w:r>
      <w:r w:rsidR="00316860" w:rsidRPr="00316860">
        <w:rPr>
          <w:i/>
          <w:color w:val="2E74B5" w:themeColor="accent1" w:themeShade="BF"/>
        </w:rPr>
        <w:t>Essence Cannabis Dispensary</w:t>
      </w:r>
    </w:p>
    <w:p w14:paraId="0DB32DFC" w14:textId="5F9CDD5F" w:rsidR="007746E2" w:rsidRPr="001B67BE" w:rsidRDefault="00BE5F45" w:rsidP="00316860">
      <w:pPr>
        <w:spacing w:after="0"/>
        <w:ind w:left="1080" w:hanging="180"/>
        <w:rPr>
          <w:i/>
          <w:color w:val="2E74B5" w:themeColor="accent1" w:themeShade="BF"/>
        </w:rPr>
      </w:pPr>
      <w:r w:rsidRPr="001B67BE">
        <w:rPr>
          <w:i/>
          <w:color w:val="2E74B5" w:themeColor="accent1" w:themeShade="BF"/>
        </w:rPr>
        <w:t xml:space="preserve"> </w:t>
      </w:r>
      <w:r w:rsidR="00826F9F" w:rsidRPr="001B67BE">
        <w:rPr>
          <w:i/>
          <w:color w:val="2E74B5" w:themeColor="accent1" w:themeShade="BF"/>
        </w:rPr>
        <w:t>M</w:t>
      </w:r>
      <w:r w:rsidR="00316860">
        <w:rPr>
          <w:i/>
          <w:color w:val="2E74B5" w:themeColor="accent1" w:themeShade="BF"/>
        </w:rPr>
        <w:t>arla</w:t>
      </w:r>
      <w:r w:rsidR="00826F9F" w:rsidRPr="001B67BE">
        <w:rPr>
          <w:i/>
          <w:color w:val="2E74B5" w:themeColor="accent1" w:themeShade="BF"/>
        </w:rPr>
        <w:t xml:space="preserve"> McDade</w:t>
      </w:r>
      <w:r w:rsidR="00F57E01" w:rsidRPr="001B67BE">
        <w:rPr>
          <w:i/>
          <w:color w:val="2E74B5" w:themeColor="accent1" w:themeShade="BF"/>
        </w:rPr>
        <w:t xml:space="preserve"> </w:t>
      </w:r>
      <w:r w:rsidR="00316860">
        <w:rPr>
          <w:i/>
          <w:color w:val="2E74B5" w:themeColor="accent1" w:themeShade="BF"/>
        </w:rPr>
        <w:t>–</w:t>
      </w:r>
      <w:r w:rsidR="00F57E01" w:rsidRPr="001B67BE">
        <w:rPr>
          <w:i/>
          <w:color w:val="2E74B5" w:themeColor="accent1" w:themeShade="BF"/>
        </w:rPr>
        <w:t xml:space="preserve"> </w:t>
      </w:r>
      <w:r w:rsidR="00826F9F" w:rsidRPr="001B67BE">
        <w:rPr>
          <w:i/>
          <w:color w:val="2E74B5" w:themeColor="accent1" w:themeShade="BF"/>
        </w:rPr>
        <w:t>Williams</w:t>
      </w:r>
      <w:r w:rsidR="00316860">
        <w:rPr>
          <w:i/>
          <w:color w:val="2E74B5" w:themeColor="accent1" w:themeShade="BF"/>
        </w:rPr>
        <w:t xml:space="preserve">, </w:t>
      </w:r>
      <w:r w:rsidR="00316860" w:rsidRPr="00316860">
        <w:rPr>
          <w:i/>
          <w:color w:val="2E74B5" w:themeColor="accent1" w:themeShade="BF"/>
        </w:rPr>
        <w:t>Strategies 360</w:t>
      </w:r>
    </w:p>
    <w:p w14:paraId="2DF7D040" w14:textId="77777777" w:rsidR="000B01A4" w:rsidRPr="001B67BE" w:rsidRDefault="000B01A4" w:rsidP="000B01A4">
      <w:pPr>
        <w:spacing w:after="0"/>
      </w:pPr>
    </w:p>
    <w:p w14:paraId="7F488D41" w14:textId="5328B2C9" w:rsidR="000B01A4" w:rsidRDefault="00DC4C91" w:rsidP="000B01A4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14:paraId="1FE580FF" w14:textId="77777777" w:rsidR="00316860" w:rsidRDefault="00316860" w:rsidP="00316860">
      <w:pPr>
        <w:pStyle w:val="ListParagraph"/>
        <w:spacing w:after="0"/>
        <w:ind w:left="900"/>
      </w:pPr>
    </w:p>
    <w:p w14:paraId="477C4038" w14:textId="0F16BF65" w:rsidR="00900B15" w:rsidRDefault="00826F9F" w:rsidP="00BD6AD6">
      <w:pPr>
        <w:spacing w:after="0"/>
        <w:ind w:left="900"/>
        <w:jc w:val="both"/>
        <w:rPr>
          <w:i/>
          <w:color w:val="2E74B5" w:themeColor="accent1" w:themeShade="BF"/>
        </w:rPr>
      </w:pPr>
      <w:r w:rsidRPr="001B67BE">
        <w:rPr>
          <w:i/>
          <w:color w:val="2E74B5" w:themeColor="accent1" w:themeShade="BF"/>
        </w:rPr>
        <w:t xml:space="preserve">The Taxation/Revenue/Regulatory Structure Working Group recommends that the </w:t>
      </w:r>
      <w:r w:rsidR="00FB3FFC">
        <w:rPr>
          <w:i/>
          <w:color w:val="2E74B5" w:themeColor="accent1" w:themeShade="BF"/>
        </w:rPr>
        <w:t xml:space="preserve">revised agent </w:t>
      </w:r>
      <w:r w:rsidR="00134DF9">
        <w:rPr>
          <w:i/>
          <w:color w:val="2E74B5" w:themeColor="accent1" w:themeShade="BF"/>
        </w:rPr>
        <w:t xml:space="preserve">card application process </w:t>
      </w:r>
      <w:r w:rsidR="00BA2AD8">
        <w:rPr>
          <w:i/>
          <w:color w:val="2E74B5" w:themeColor="accent1" w:themeShade="BF"/>
        </w:rPr>
        <w:t xml:space="preserve">as written in </w:t>
      </w:r>
      <w:r w:rsidR="00FB3FFC">
        <w:rPr>
          <w:i/>
          <w:color w:val="2E74B5" w:themeColor="accent1" w:themeShade="BF"/>
        </w:rPr>
        <w:t xml:space="preserve">Assembly Bill No. 422 </w:t>
      </w:r>
      <w:r w:rsidR="00B3636B" w:rsidRPr="001B67BE">
        <w:rPr>
          <w:i/>
          <w:color w:val="2E74B5" w:themeColor="accent1" w:themeShade="BF"/>
        </w:rPr>
        <w:t xml:space="preserve">be </w:t>
      </w:r>
      <w:r w:rsidR="00FB3FFC">
        <w:rPr>
          <w:i/>
          <w:color w:val="2E74B5" w:themeColor="accent1" w:themeShade="BF"/>
        </w:rPr>
        <w:t>applied to</w:t>
      </w:r>
      <w:r w:rsidR="00900B15">
        <w:rPr>
          <w:i/>
          <w:color w:val="2E74B5" w:themeColor="accent1" w:themeShade="BF"/>
        </w:rPr>
        <w:t xml:space="preserve"> both Medical and R</w:t>
      </w:r>
      <w:r w:rsidR="00FB3FFC">
        <w:rPr>
          <w:i/>
          <w:color w:val="2E74B5" w:themeColor="accent1" w:themeShade="BF"/>
        </w:rPr>
        <w:t xml:space="preserve">ecreational </w:t>
      </w:r>
      <w:r w:rsidR="00900B15">
        <w:rPr>
          <w:i/>
          <w:color w:val="2E74B5" w:themeColor="accent1" w:themeShade="BF"/>
        </w:rPr>
        <w:t xml:space="preserve">marijuana </w:t>
      </w:r>
      <w:r w:rsidR="00FB3FFC">
        <w:rPr>
          <w:i/>
          <w:color w:val="2E74B5" w:themeColor="accent1" w:themeShade="BF"/>
        </w:rPr>
        <w:t>licens</w:t>
      </w:r>
      <w:r w:rsidR="00900B15">
        <w:rPr>
          <w:i/>
          <w:color w:val="2E74B5" w:themeColor="accent1" w:themeShade="BF"/>
        </w:rPr>
        <w:t xml:space="preserve">ing. </w:t>
      </w:r>
    </w:p>
    <w:p w14:paraId="3335751D" w14:textId="77777777" w:rsidR="00900B15" w:rsidRDefault="00900B15" w:rsidP="00BD6AD6">
      <w:pPr>
        <w:spacing w:after="0"/>
        <w:ind w:left="900"/>
        <w:jc w:val="both"/>
        <w:rPr>
          <w:i/>
          <w:color w:val="2E74B5" w:themeColor="accent1" w:themeShade="BF"/>
        </w:rPr>
      </w:pPr>
    </w:p>
    <w:p w14:paraId="38ABF518" w14:textId="6A04A940" w:rsidR="006660C6" w:rsidRDefault="00BA2AD8" w:rsidP="00BD6AD6">
      <w:pPr>
        <w:spacing w:after="0"/>
        <w:ind w:left="900"/>
        <w:jc w:val="both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 xml:space="preserve">Therefore, the first portion of this recommendation is to support provisions of AB 422 to ensure agent card changes are carried forward for medical marijuana.  </w:t>
      </w:r>
    </w:p>
    <w:p w14:paraId="4FDDE96B" w14:textId="0F50A0AA" w:rsidR="00BA2AD8" w:rsidRDefault="00BA2AD8" w:rsidP="00BD6AD6">
      <w:pPr>
        <w:spacing w:after="0"/>
        <w:ind w:left="900"/>
        <w:jc w:val="both"/>
        <w:rPr>
          <w:i/>
          <w:color w:val="2E74B5" w:themeColor="accent1" w:themeShade="BF"/>
        </w:rPr>
      </w:pPr>
    </w:p>
    <w:p w14:paraId="233057BA" w14:textId="70E83077" w:rsidR="00BA2AD8" w:rsidRPr="001B67BE" w:rsidRDefault="00BA2AD8" w:rsidP="00BD6AD6">
      <w:pPr>
        <w:spacing w:after="0"/>
        <w:ind w:left="900"/>
        <w:jc w:val="both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 xml:space="preserve">The second portion of this recommendation is to recommend that regulations for recreational marijuana include the following </w:t>
      </w:r>
      <w:r w:rsidR="003E7416">
        <w:rPr>
          <w:i/>
          <w:color w:val="2E74B5" w:themeColor="accent1" w:themeShade="BF"/>
        </w:rPr>
        <w:t>p</w:t>
      </w:r>
      <w:r>
        <w:rPr>
          <w:i/>
          <w:color w:val="2E74B5" w:themeColor="accent1" w:themeShade="BF"/>
        </w:rPr>
        <w:t>rovisions:</w:t>
      </w:r>
    </w:p>
    <w:p w14:paraId="724F7847" w14:textId="77777777" w:rsidR="00B3636B" w:rsidRPr="001B67BE" w:rsidRDefault="00B3636B" w:rsidP="00BD6AD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i/>
          <w:color w:val="2E74B5" w:themeColor="accent1" w:themeShade="BF"/>
        </w:rPr>
      </w:pPr>
    </w:p>
    <w:p w14:paraId="2016A950" w14:textId="2700FE56" w:rsidR="00F57E01" w:rsidRPr="001B67BE" w:rsidRDefault="00BA2AD8" w:rsidP="00BD6A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i/>
          <w:color w:val="2E74B5" w:themeColor="accent1" w:themeShade="BF"/>
        </w:rPr>
      </w:pPr>
      <w:r>
        <w:rPr>
          <w:rFonts w:cs="TimesNewRoman"/>
          <w:i/>
          <w:color w:val="2E74B5" w:themeColor="accent1" w:themeShade="BF"/>
        </w:rPr>
        <w:t xml:space="preserve">Allow </w:t>
      </w:r>
      <w:r w:rsidR="00B3636B" w:rsidRPr="001B67BE">
        <w:rPr>
          <w:rFonts w:cs="TimesNewRoman"/>
          <w:i/>
          <w:color w:val="2E74B5" w:themeColor="accent1" w:themeShade="BF"/>
        </w:rPr>
        <w:t xml:space="preserve">a person to submit an application for registration as a </w:t>
      </w:r>
      <w:r>
        <w:rPr>
          <w:rFonts w:cs="TimesNewRoman"/>
          <w:i/>
          <w:color w:val="2E74B5" w:themeColor="accent1" w:themeShade="BF"/>
        </w:rPr>
        <w:t>recreational</w:t>
      </w:r>
      <w:r w:rsidR="00B3636B" w:rsidRPr="001B67BE">
        <w:rPr>
          <w:rFonts w:cs="TimesNewRoman"/>
          <w:i/>
          <w:color w:val="2E74B5" w:themeColor="accent1" w:themeShade="BF"/>
        </w:rPr>
        <w:t xml:space="preserve"> marijuana establishment agent on his or her own behalf. </w:t>
      </w:r>
    </w:p>
    <w:p w14:paraId="40557093" w14:textId="77777777" w:rsidR="00F57E01" w:rsidRPr="001B67BE" w:rsidRDefault="00F57E01" w:rsidP="00BD6AD6">
      <w:pPr>
        <w:pStyle w:val="ListParagraph"/>
        <w:autoSpaceDE w:val="0"/>
        <w:autoSpaceDN w:val="0"/>
        <w:adjustRightInd w:val="0"/>
        <w:spacing w:after="0" w:line="240" w:lineRule="auto"/>
        <w:ind w:left="1620"/>
        <w:jc w:val="both"/>
        <w:rPr>
          <w:rFonts w:cs="TimesNewRoman"/>
          <w:i/>
          <w:color w:val="2E74B5" w:themeColor="accent1" w:themeShade="BF"/>
        </w:rPr>
      </w:pPr>
    </w:p>
    <w:p w14:paraId="21A0B71B" w14:textId="74F51F19" w:rsidR="00F57E01" w:rsidRPr="001B67BE" w:rsidRDefault="00BA2AD8" w:rsidP="00BD6A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i/>
          <w:color w:val="2E74B5" w:themeColor="accent1" w:themeShade="BF"/>
        </w:rPr>
      </w:pPr>
      <w:r>
        <w:rPr>
          <w:rFonts w:cs="TimesNewRoman"/>
          <w:i/>
          <w:color w:val="2E74B5" w:themeColor="accent1" w:themeShade="BF"/>
        </w:rPr>
        <w:t xml:space="preserve">Allow </w:t>
      </w:r>
      <w:r w:rsidR="00B3636B" w:rsidRPr="001B67BE">
        <w:rPr>
          <w:rFonts w:cs="TimesNewRoman"/>
          <w:i/>
          <w:color w:val="2E74B5" w:themeColor="accent1" w:themeShade="BF"/>
        </w:rPr>
        <w:t xml:space="preserve">for the temporary registration of a person as a </w:t>
      </w:r>
      <w:r>
        <w:rPr>
          <w:rFonts w:cs="TimesNewRoman"/>
          <w:i/>
          <w:color w:val="2E74B5" w:themeColor="accent1" w:themeShade="BF"/>
        </w:rPr>
        <w:t xml:space="preserve">recreational establishment </w:t>
      </w:r>
      <w:r w:rsidR="00B3636B" w:rsidRPr="001B67BE">
        <w:rPr>
          <w:rFonts w:cs="TimesNewRoman"/>
          <w:i/>
          <w:color w:val="2E74B5" w:themeColor="accent1" w:themeShade="BF"/>
        </w:rPr>
        <w:t xml:space="preserve">agent upon submission of a complete application for registration or renewal of registration.  </w:t>
      </w:r>
    </w:p>
    <w:p w14:paraId="57823181" w14:textId="77777777" w:rsidR="00F57E01" w:rsidRPr="001B67BE" w:rsidRDefault="00F57E01" w:rsidP="00BD6AD6">
      <w:pPr>
        <w:pStyle w:val="ListParagraph"/>
        <w:jc w:val="both"/>
        <w:rPr>
          <w:rFonts w:cs="TimesNewRoman"/>
          <w:i/>
          <w:color w:val="2E74B5" w:themeColor="accent1" w:themeShade="BF"/>
        </w:rPr>
      </w:pPr>
    </w:p>
    <w:p w14:paraId="1D33A0C2" w14:textId="0F5982CA" w:rsidR="00B3636B" w:rsidRPr="001B67BE" w:rsidRDefault="00BA2AD8" w:rsidP="00BD6A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i/>
          <w:color w:val="2E74B5" w:themeColor="accent1" w:themeShade="BF"/>
        </w:rPr>
      </w:pPr>
      <w:r>
        <w:rPr>
          <w:rFonts w:cs="TimesNewRoman"/>
          <w:i/>
          <w:color w:val="2E74B5" w:themeColor="accent1" w:themeShade="BF"/>
        </w:rPr>
        <w:t>A</w:t>
      </w:r>
      <w:r w:rsidR="00B3636B" w:rsidRPr="001B67BE">
        <w:rPr>
          <w:rFonts w:cs="TimesNewRoman"/>
          <w:i/>
          <w:color w:val="2E74B5" w:themeColor="accent1" w:themeShade="BF"/>
        </w:rPr>
        <w:t xml:space="preserve">llow an independent contractor or employee of an independent contractor who is registered as a </w:t>
      </w:r>
      <w:r>
        <w:rPr>
          <w:rFonts w:cs="TimesNewRoman"/>
          <w:i/>
          <w:color w:val="2E74B5" w:themeColor="accent1" w:themeShade="BF"/>
        </w:rPr>
        <w:t>recreational ma</w:t>
      </w:r>
      <w:r w:rsidR="00B3636B" w:rsidRPr="001B67BE">
        <w:rPr>
          <w:rFonts w:cs="TimesNewRoman"/>
          <w:i/>
          <w:color w:val="2E74B5" w:themeColor="accent1" w:themeShade="BF"/>
        </w:rPr>
        <w:t xml:space="preserve">rijuana establishment agent to provide labor to </w:t>
      </w:r>
      <w:r w:rsidRPr="001B67BE">
        <w:rPr>
          <w:rFonts w:cs="TimesNewRoman"/>
          <w:i/>
          <w:color w:val="2E74B5" w:themeColor="accent1" w:themeShade="BF"/>
        </w:rPr>
        <w:t>any establishment</w:t>
      </w:r>
      <w:r w:rsidR="00B3636B" w:rsidRPr="001B67BE">
        <w:rPr>
          <w:rFonts w:cs="TimesNewRoman"/>
          <w:i/>
          <w:color w:val="2E74B5" w:themeColor="accent1" w:themeShade="BF"/>
        </w:rPr>
        <w:t xml:space="preserve"> and any othe</w:t>
      </w:r>
      <w:r>
        <w:rPr>
          <w:rFonts w:cs="TimesNewRoman"/>
          <w:i/>
          <w:color w:val="2E74B5" w:themeColor="accent1" w:themeShade="BF"/>
        </w:rPr>
        <w:t xml:space="preserve">r person who is registered as an </w:t>
      </w:r>
      <w:r w:rsidR="00B3636B" w:rsidRPr="001B67BE">
        <w:rPr>
          <w:rFonts w:cs="TimesNewRoman"/>
          <w:i/>
          <w:color w:val="2E74B5" w:themeColor="accent1" w:themeShade="BF"/>
        </w:rPr>
        <w:t xml:space="preserve">agent to work or volunteer at any </w:t>
      </w:r>
      <w:r>
        <w:rPr>
          <w:rFonts w:cs="TimesNewRoman"/>
          <w:i/>
          <w:color w:val="2E74B5" w:themeColor="accent1" w:themeShade="BF"/>
        </w:rPr>
        <w:t>e</w:t>
      </w:r>
      <w:r w:rsidR="00B3636B" w:rsidRPr="001B67BE">
        <w:rPr>
          <w:rFonts w:cs="TimesNewRoman"/>
          <w:i/>
          <w:color w:val="2E74B5" w:themeColor="accent1" w:themeShade="BF"/>
        </w:rPr>
        <w:t>stablishment for which the category of the person’s agent card is valid.</w:t>
      </w:r>
    </w:p>
    <w:p w14:paraId="3A167305" w14:textId="77777777" w:rsidR="00134DF9" w:rsidRDefault="00134DF9" w:rsidP="00B3636B">
      <w:pPr>
        <w:pStyle w:val="ListParagraph"/>
        <w:rPr>
          <w:color w:val="2E74B5" w:themeColor="accent1" w:themeShade="BF"/>
        </w:rPr>
      </w:pPr>
    </w:p>
    <w:p w14:paraId="277DEA9D" w14:textId="5202CA19" w:rsidR="00F42C9A" w:rsidRPr="00BA2AD8" w:rsidRDefault="00BA2AD8" w:rsidP="00BA2AD8">
      <w:pPr>
        <w:pStyle w:val="ListParagraph"/>
        <w:numPr>
          <w:ilvl w:val="0"/>
          <w:numId w:val="1"/>
        </w:numPr>
        <w:rPr>
          <w:color w:val="2E74B5" w:themeColor="accent1" w:themeShade="BF"/>
        </w:rPr>
      </w:pPr>
      <w:r>
        <w:t xml:space="preserve"> </w:t>
      </w:r>
      <w:r w:rsidR="00F42C9A" w:rsidRPr="00F42C9A">
        <w:t>Which guiding principle (s) does this recommendation support?</w:t>
      </w:r>
    </w:p>
    <w:p w14:paraId="24B146D1" w14:textId="77777777" w:rsidR="00F42C9A" w:rsidRDefault="00F42C9A" w:rsidP="00F42C9A">
      <w:pPr>
        <w:pStyle w:val="ListParagraph"/>
        <w:ind w:left="900"/>
        <w:rPr>
          <w:color w:val="2E74B5" w:themeColor="accent1" w:themeShade="BF"/>
        </w:rPr>
      </w:pPr>
    </w:p>
    <w:p w14:paraId="16FCC338" w14:textId="544AFF3F" w:rsidR="00F42C9A" w:rsidRPr="00BD6AD6" w:rsidRDefault="00F42C9A" w:rsidP="00BD6AD6">
      <w:pPr>
        <w:pStyle w:val="ListParagraph"/>
        <w:ind w:left="900"/>
        <w:jc w:val="both"/>
        <w:rPr>
          <w:i/>
          <w:color w:val="2E74B5" w:themeColor="accent1" w:themeShade="BF"/>
        </w:rPr>
      </w:pPr>
      <w:r w:rsidRPr="00BD6AD6">
        <w:rPr>
          <w:i/>
          <w:color w:val="2E74B5" w:themeColor="accent1" w:themeShade="BF"/>
        </w:rPr>
        <w:t>Guiding Principle 4 – Propose efficient and effective regulation that is clear and reasonnable and not unduly burdensome.</w:t>
      </w:r>
    </w:p>
    <w:p w14:paraId="1A668259" w14:textId="3B6C7FD5" w:rsidR="00F42C9A" w:rsidRPr="00BD6AD6" w:rsidRDefault="00F42C9A" w:rsidP="00BD6AD6">
      <w:pPr>
        <w:pStyle w:val="ListParagraph"/>
        <w:ind w:left="900"/>
        <w:jc w:val="both"/>
        <w:rPr>
          <w:i/>
          <w:color w:val="2E74B5" w:themeColor="accent1" w:themeShade="BF"/>
        </w:rPr>
      </w:pPr>
    </w:p>
    <w:p w14:paraId="4C70DE7A" w14:textId="335BA958" w:rsidR="00F42C9A" w:rsidRPr="00911EE1" w:rsidRDefault="00F42C9A" w:rsidP="00F42C9A">
      <w:pPr>
        <w:pStyle w:val="ListParagraph"/>
        <w:numPr>
          <w:ilvl w:val="0"/>
          <w:numId w:val="1"/>
        </w:numPr>
      </w:pPr>
      <w:r w:rsidRPr="00911EE1">
        <w:t>What provision (s) of Question 2 does this recommendation apply to?</w:t>
      </w:r>
    </w:p>
    <w:p w14:paraId="5E7C62BE" w14:textId="5B0402C0" w:rsidR="00F42C9A" w:rsidRDefault="00F42C9A" w:rsidP="00BD6AD6">
      <w:pPr>
        <w:ind w:left="900"/>
        <w:jc w:val="both"/>
        <w:rPr>
          <w:i/>
          <w:color w:val="2E74B5" w:themeColor="accent1" w:themeShade="BF"/>
        </w:rPr>
      </w:pPr>
      <w:r w:rsidRPr="00BD6AD6">
        <w:rPr>
          <w:i/>
          <w:color w:val="2E74B5" w:themeColor="accent1" w:themeShade="BF"/>
        </w:rPr>
        <w:t>Init</w:t>
      </w:r>
      <w:r w:rsidR="00911EE1" w:rsidRPr="00BD6AD6">
        <w:rPr>
          <w:i/>
          <w:color w:val="2E74B5" w:themeColor="accent1" w:themeShade="BF"/>
        </w:rPr>
        <w:t>iative</w:t>
      </w:r>
      <w:r w:rsidRPr="00BD6AD6">
        <w:rPr>
          <w:i/>
          <w:color w:val="2E74B5" w:themeColor="accent1" w:themeShade="BF"/>
        </w:rPr>
        <w:t xml:space="preserve"> gives the Dep</w:t>
      </w:r>
      <w:r w:rsidR="00911EE1" w:rsidRPr="00BD6AD6">
        <w:rPr>
          <w:i/>
          <w:color w:val="2E74B5" w:themeColor="accent1" w:themeShade="BF"/>
        </w:rPr>
        <w:t>ar</w:t>
      </w:r>
      <w:r w:rsidRPr="00BD6AD6">
        <w:rPr>
          <w:i/>
          <w:color w:val="2E74B5" w:themeColor="accent1" w:themeShade="BF"/>
        </w:rPr>
        <w:t>t</w:t>
      </w:r>
      <w:r w:rsidR="00911EE1" w:rsidRPr="00BD6AD6">
        <w:rPr>
          <w:i/>
          <w:color w:val="2E74B5" w:themeColor="accent1" w:themeShade="BF"/>
        </w:rPr>
        <w:t>ment of T</w:t>
      </w:r>
      <w:r w:rsidRPr="00BD6AD6">
        <w:rPr>
          <w:i/>
          <w:color w:val="2E74B5" w:themeColor="accent1" w:themeShade="BF"/>
        </w:rPr>
        <w:t>ax</w:t>
      </w:r>
      <w:r w:rsidR="00911EE1" w:rsidRPr="00BD6AD6">
        <w:rPr>
          <w:i/>
          <w:color w:val="2E74B5" w:themeColor="accent1" w:themeShade="BF"/>
        </w:rPr>
        <w:t>ation</w:t>
      </w:r>
      <w:r w:rsidRPr="00BD6AD6">
        <w:rPr>
          <w:i/>
          <w:color w:val="2E74B5" w:themeColor="accent1" w:themeShade="BF"/>
        </w:rPr>
        <w:t xml:space="preserve"> the authority to regulate and this includes determining who can work or volunteer at facilities</w:t>
      </w:r>
      <w:r w:rsidR="00911EE1" w:rsidRPr="00BD6AD6">
        <w:rPr>
          <w:i/>
          <w:color w:val="2E74B5" w:themeColor="accent1" w:themeShade="BF"/>
        </w:rPr>
        <w:t>.</w:t>
      </w:r>
      <w:r w:rsidRPr="00BD6AD6">
        <w:rPr>
          <w:i/>
          <w:color w:val="2E74B5" w:themeColor="accent1" w:themeShade="BF"/>
        </w:rPr>
        <w:t xml:space="preserve">   </w:t>
      </w:r>
    </w:p>
    <w:p w14:paraId="64F5870B" w14:textId="77777777" w:rsidR="00BD6AD6" w:rsidRDefault="00BD6AD6" w:rsidP="00BD6AD6">
      <w:pPr>
        <w:ind w:left="900"/>
        <w:jc w:val="both"/>
        <w:rPr>
          <w:i/>
          <w:color w:val="2E74B5" w:themeColor="accent1" w:themeShade="BF"/>
        </w:rPr>
      </w:pPr>
    </w:p>
    <w:p w14:paraId="3A4A8D3C" w14:textId="77777777" w:rsidR="00BD6AD6" w:rsidRPr="00BD6AD6" w:rsidRDefault="00BD6AD6" w:rsidP="00BD6AD6">
      <w:pPr>
        <w:ind w:left="900"/>
        <w:jc w:val="both"/>
        <w:rPr>
          <w:i/>
          <w:color w:val="2E74B5" w:themeColor="accent1" w:themeShade="BF"/>
        </w:rPr>
      </w:pPr>
    </w:p>
    <w:p w14:paraId="527A1772" w14:textId="61A68C0B" w:rsidR="007A4A8C" w:rsidRDefault="00E9081E" w:rsidP="00315D2D">
      <w:pPr>
        <w:pStyle w:val="ListParagraph"/>
        <w:numPr>
          <w:ilvl w:val="0"/>
          <w:numId w:val="5"/>
        </w:numPr>
        <w:spacing w:after="0"/>
      </w:pPr>
      <w:r w:rsidRPr="003110FB">
        <w:lastRenderedPageBreak/>
        <w:t>What issue(s) does the recommendation resolve?</w:t>
      </w:r>
    </w:p>
    <w:p w14:paraId="4D577190" w14:textId="77777777" w:rsidR="001B67BE" w:rsidRPr="003110FB" w:rsidRDefault="001B67BE" w:rsidP="001B67BE">
      <w:pPr>
        <w:pStyle w:val="ListParagraph"/>
        <w:spacing w:after="0"/>
        <w:ind w:left="900"/>
      </w:pPr>
    </w:p>
    <w:p w14:paraId="0B19CD2E" w14:textId="68E1742C" w:rsidR="00F57E01" w:rsidRPr="00BD6AD6" w:rsidRDefault="006660C6" w:rsidP="00BD6AD6">
      <w:pPr>
        <w:spacing w:after="0"/>
        <w:ind w:left="900"/>
        <w:jc w:val="both"/>
        <w:rPr>
          <w:i/>
          <w:color w:val="2E74B5" w:themeColor="accent1" w:themeShade="BF"/>
        </w:rPr>
      </w:pPr>
      <w:r w:rsidRPr="00BD6AD6">
        <w:rPr>
          <w:i/>
          <w:color w:val="2E74B5" w:themeColor="accent1" w:themeShade="BF"/>
        </w:rPr>
        <w:t xml:space="preserve">This recommendation </w:t>
      </w:r>
      <w:r w:rsidR="004F2608" w:rsidRPr="00BD6AD6">
        <w:rPr>
          <w:i/>
          <w:color w:val="2E74B5" w:themeColor="accent1" w:themeShade="BF"/>
        </w:rPr>
        <w:t xml:space="preserve">would </w:t>
      </w:r>
      <w:r w:rsidR="004F2608" w:rsidRPr="00BD6AD6">
        <w:rPr>
          <w:rFonts w:ascii="Calibri" w:eastAsia="Times New Roman" w:hAnsi="Calibri"/>
          <w:i/>
          <w:color w:val="2E74B5" w:themeColor="accent1" w:themeShade="BF"/>
        </w:rPr>
        <w:t xml:space="preserve">ensure efficiency with recreational establishments as it relates to cards for agents and independent contractors: </w:t>
      </w:r>
    </w:p>
    <w:p w14:paraId="3428ECA9" w14:textId="77777777" w:rsidR="00F57E01" w:rsidRPr="004F2608" w:rsidRDefault="00F57E01" w:rsidP="00F57E01">
      <w:pPr>
        <w:spacing w:after="0"/>
        <w:ind w:left="900"/>
        <w:rPr>
          <w:i/>
          <w:color w:val="2E74B5" w:themeColor="accent1" w:themeShade="BF"/>
        </w:rPr>
      </w:pPr>
    </w:p>
    <w:p w14:paraId="1D1D2FEC" w14:textId="186D3B76" w:rsidR="00ED0ED2" w:rsidRPr="001B67BE" w:rsidRDefault="00900B15" w:rsidP="00BD6AD6">
      <w:pPr>
        <w:pStyle w:val="ListParagraph"/>
        <w:numPr>
          <w:ilvl w:val="0"/>
          <w:numId w:val="7"/>
        </w:numPr>
        <w:spacing w:after="0"/>
        <w:jc w:val="both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>Would allow</w:t>
      </w:r>
      <w:r w:rsidR="00ED0ED2" w:rsidRPr="001B67BE">
        <w:rPr>
          <w:i/>
          <w:color w:val="2E74B5" w:themeColor="accent1" w:themeShade="BF"/>
        </w:rPr>
        <w:t xml:space="preserve"> potential employees to apply directly to the State to obtain registered agent card and allows them to work while card is pending; </w:t>
      </w:r>
    </w:p>
    <w:p w14:paraId="7CD68F0F" w14:textId="7C48032A" w:rsidR="001B67BE" w:rsidRDefault="00900B15" w:rsidP="00BD6AD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>Would allow</w:t>
      </w:r>
      <w:r w:rsidR="00ED0ED2" w:rsidRPr="001B67BE">
        <w:rPr>
          <w:i/>
          <w:color w:val="2E74B5" w:themeColor="accent1" w:themeShade="BF"/>
        </w:rPr>
        <w:t xml:space="preserve"> agents and independent contractors to obtain one card for each type of facil</w:t>
      </w:r>
      <w:r w:rsidR="001B67BE" w:rsidRPr="001B67BE">
        <w:rPr>
          <w:i/>
          <w:color w:val="2E74B5" w:themeColor="accent1" w:themeShade="BF"/>
        </w:rPr>
        <w:t>ity rather than multiple cards</w:t>
      </w:r>
      <w:r w:rsidR="003E7416">
        <w:rPr>
          <w:i/>
          <w:color w:val="2E74B5" w:themeColor="accent1" w:themeShade="BF"/>
        </w:rPr>
        <w:t>;</w:t>
      </w:r>
    </w:p>
    <w:p w14:paraId="2C77A1B9" w14:textId="36CF50E9" w:rsidR="001B67BE" w:rsidRPr="001B67BE" w:rsidRDefault="00900B15" w:rsidP="00BD6AD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>Would allow</w:t>
      </w:r>
      <w:r w:rsidR="001B67BE" w:rsidRPr="001B67BE">
        <w:rPr>
          <w:i/>
          <w:color w:val="2E74B5" w:themeColor="accent1" w:themeShade="BF"/>
        </w:rPr>
        <w:t xml:space="preserve"> temporary registration of a person as an establishment agent</w:t>
      </w:r>
    </w:p>
    <w:p w14:paraId="7ABEA5B8" w14:textId="77777777" w:rsidR="001B0ADC" w:rsidRPr="003110FB" w:rsidRDefault="001B0ADC" w:rsidP="001B0ADC">
      <w:pPr>
        <w:spacing w:after="0"/>
      </w:pPr>
    </w:p>
    <w:p w14:paraId="7EE888FD" w14:textId="57F39BB4" w:rsidR="001B0ADC" w:rsidRPr="003110FB" w:rsidRDefault="001B0ADC" w:rsidP="00BD6AD6">
      <w:pPr>
        <w:pStyle w:val="ListParagraph"/>
        <w:numPr>
          <w:ilvl w:val="0"/>
          <w:numId w:val="5"/>
        </w:numPr>
        <w:spacing w:after="0"/>
        <w:jc w:val="both"/>
      </w:pPr>
      <w:r w:rsidRPr="003110FB">
        <w:t>Was there dissent in the group regarding this recommendation?  If yes, please provide a summary of the dissenting opinion regarding the recommendation.</w:t>
      </w:r>
    </w:p>
    <w:p w14:paraId="30E263BB" w14:textId="77777777" w:rsidR="00E9081E" w:rsidRPr="003110FB" w:rsidRDefault="00E9081E" w:rsidP="00E9081E">
      <w:pPr>
        <w:spacing w:after="0"/>
      </w:pPr>
    </w:p>
    <w:p w14:paraId="7818C550" w14:textId="433CE317" w:rsidR="00E9081E" w:rsidRPr="001B67BE" w:rsidRDefault="00ED0ED2" w:rsidP="00ED0ED2">
      <w:pPr>
        <w:spacing w:after="0"/>
        <w:ind w:left="900"/>
        <w:rPr>
          <w:i/>
          <w:color w:val="2E74B5" w:themeColor="accent1" w:themeShade="BF"/>
        </w:rPr>
      </w:pPr>
      <w:r w:rsidRPr="001B67BE">
        <w:rPr>
          <w:i/>
          <w:color w:val="2E74B5" w:themeColor="accent1" w:themeShade="BF"/>
        </w:rPr>
        <w:t>No dissent</w:t>
      </w:r>
    </w:p>
    <w:p w14:paraId="3588FBE3" w14:textId="77777777" w:rsidR="00E9081E" w:rsidRPr="003110FB" w:rsidRDefault="00E9081E" w:rsidP="00E9081E">
      <w:pPr>
        <w:spacing w:after="0"/>
      </w:pPr>
    </w:p>
    <w:p w14:paraId="6333FE17" w14:textId="77777777" w:rsidR="00E9081E" w:rsidRPr="003110FB" w:rsidRDefault="00E9081E" w:rsidP="00BD6AD6">
      <w:pPr>
        <w:pStyle w:val="ListParagraph"/>
        <w:numPr>
          <w:ilvl w:val="0"/>
          <w:numId w:val="5"/>
        </w:numPr>
        <w:spacing w:after="0"/>
        <w:jc w:val="both"/>
      </w:pPr>
      <w:bookmarkStart w:id="0" w:name="_GoBack"/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bookmarkEnd w:id="0"/>
    <w:p w14:paraId="5CA7B542" w14:textId="77777777" w:rsidR="00E9081E" w:rsidRPr="003110FB" w:rsidRDefault="00E9081E" w:rsidP="00E9081E">
      <w:pPr>
        <w:pStyle w:val="ListParagraph"/>
        <w:spacing w:after="0"/>
      </w:pPr>
    </w:p>
    <w:p w14:paraId="28E19D50" w14:textId="57EC7150" w:rsidR="00E9081E" w:rsidRPr="001B67BE" w:rsidRDefault="00BD5C43" w:rsidP="00BD6AD6">
      <w:pPr>
        <w:pStyle w:val="ListParagraph"/>
        <w:numPr>
          <w:ilvl w:val="0"/>
          <w:numId w:val="7"/>
        </w:numPr>
        <w:spacing w:after="0"/>
        <w:jc w:val="both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 xml:space="preserve">This recommendation should become part of the final recommendations for recreational marijuana licensing.   </w:t>
      </w:r>
    </w:p>
    <w:p w14:paraId="725CD4F6" w14:textId="77777777" w:rsidR="00E9081E" w:rsidRPr="001B67BE" w:rsidRDefault="00E9081E" w:rsidP="00E9081E">
      <w:pPr>
        <w:pStyle w:val="ListParagraph"/>
        <w:spacing w:after="0"/>
        <w:rPr>
          <w:color w:val="2E74B5" w:themeColor="accent1" w:themeShade="BF"/>
        </w:rPr>
      </w:pPr>
    </w:p>
    <w:p w14:paraId="6E62C578" w14:textId="77777777" w:rsidR="00E9081E" w:rsidRPr="003110FB" w:rsidRDefault="00E9081E" w:rsidP="00E9081E">
      <w:pPr>
        <w:pStyle w:val="ListParagraph"/>
        <w:spacing w:after="0"/>
      </w:pPr>
    </w:p>
    <w:p w14:paraId="1EC95596" w14:textId="09EDF5D2" w:rsidR="00DD1A10" w:rsidRDefault="00CC30A8" w:rsidP="002C02C1">
      <w:pPr>
        <w:pStyle w:val="ListParagraph"/>
        <w:numPr>
          <w:ilvl w:val="0"/>
          <w:numId w:val="5"/>
        </w:numPr>
        <w:spacing w:after="0"/>
        <w:jc w:val="both"/>
      </w:pPr>
      <w:r w:rsidRPr="003110FB">
        <w:t xml:space="preserve">Additional information (cost of implementation, priority according to the recommendations, </w:t>
      </w:r>
      <w:r w:rsidR="008E7395" w:rsidRPr="003110FB">
        <w:t>etc.</w:t>
      </w:r>
      <w:r w:rsidRPr="003110FB">
        <w:t>)</w:t>
      </w:r>
      <w:r w:rsidR="00B70E4E" w:rsidRPr="003110FB">
        <w:t>.</w:t>
      </w:r>
    </w:p>
    <w:p w14:paraId="59190146" w14:textId="77777777" w:rsidR="00BD6AD6" w:rsidRDefault="00BD6AD6" w:rsidP="002C02C1">
      <w:pPr>
        <w:pStyle w:val="ListParagraph"/>
        <w:spacing w:after="0"/>
        <w:ind w:left="900"/>
        <w:jc w:val="both"/>
      </w:pPr>
    </w:p>
    <w:p w14:paraId="74604E9D" w14:textId="341C65C2" w:rsidR="00ED0ED2" w:rsidRDefault="00ED0ED2" w:rsidP="00BD6AD6">
      <w:pPr>
        <w:pStyle w:val="ListParagraph"/>
        <w:numPr>
          <w:ilvl w:val="0"/>
          <w:numId w:val="7"/>
        </w:numPr>
        <w:spacing w:after="0"/>
        <w:jc w:val="both"/>
        <w:rPr>
          <w:i/>
          <w:color w:val="2E74B5" w:themeColor="accent1" w:themeShade="BF"/>
        </w:rPr>
      </w:pPr>
      <w:r w:rsidRPr="001B67BE">
        <w:rPr>
          <w:i/>
          <w:color w:val="2E74B5" w:themeColor="accent1" w:themeShade="BF"/>
        </w:rPr>
        <w:t>This has been discussed at session (AB</w:t>
      </w:r>
      <w:r w:rsidR="003E7416">
        <w:rPr>
          <w:i/>
          <w:color w:val="2E74B5" w:themeColor="accent1" w:themeShade="BF"/>
        </w:rPr>
        <w:t xml:space="preserve"> </w:t>
      </w:r>
      <w:r w:rsidRPr="001B67BE">
        <w:rPr>
          <w:i/>
          <w:color w:val="2E74B5" w:themeColor="accent1" w:themeShade="BF"/>
        </w:rPr>
        <w:t>422)</w:t>
      </w:r>
      <w:r w:rsidR="003E7416">
        <w:rPr>
          <w:i/>
          <w:color w:val="2E74B5" w:themeColor="accent1" w:themeShade="BF"/>
        </w:rPr>
        <w:t xml:space="preserve">. </w:t>
      </w:r>
      <w:r w:rsidRPr="001B67BE">
        <w:rPr>
          <w:i/>
          <w:color w:val="2E74B5" w:themeColor="accent1" w:themeShade="BF"/>
        </w:rPr>
        <w:t xml:space="preserve"> Assemblyman Araujo agreed to carry </w:t>
      </w:r>
      <w:r w:rsidR="00D2056E">
        <w:rPr>
          <w:i/>
          <w:color w:val="2E74B5" w:themeColor="accent1" w:themeShade="BF"/>
        </w:rPr>
        <w:t>the</w:t>
      </w:r>
      <w:r w:rsidRPr="001B67BE">
        <w:rPr>
          <w:i/>
          <w:color w:val="2E74B5" w:themeColor="accent1" w:themeShade="BF"/>
        </w:rPr>
        <w:t xml:space="preserve"> </w:t>
      </w:r>
      <w:r w:rsidR="00D2056E">
        <w:rPr>
          <w:i/>
          <w:color w:val="2E74B5" w:themeColor="accent1" w:themeShade="BF"/>
        </w:rPr>
        <w:t>revision of</w:t>
      </w:r>
      <w:r w:rsidRPr="001B67BE">
        <w:rPr>
          <w:i/>
          <w:color w:val="2E74B5" w:themeColor="accent1" w:themeShade="BF"/>
        </w:rPr>
        <w:t xml:space="preserve"> </w:t>
      </w:r>
      <w:r w:rsidR="00134DF9">
        <w:rPr>
          <w:i/>
          <w:color w:val="2E74B5" w:themeColor="accent1" w:themeShade="BF"/>
        </w:rPr>
        <w:t xml:space="preserve">the </w:t>
      </w:r>
      <w:r w:rsidRPr="001B67BE">
        <w:rPr>
          <w:i/>
          <w:color w:val="2E74B5" w:themeColor="accent1" w:themeShade="BF"/>
        </w:rPr>
        <w:t xml:space="preserve">agent card </w:t>
      </w:r>
      <w:r w:rsidR="00D2056E">
        <w:rPr>
          <w:i/>
          <w:color w:val="2E74B5" w:themeColor="accent1" w:themeShade="BF"/>
        </w:rPr>
        <w:t>application process</w:t>
      </w:r>
      <w:r w:rsidRPr="001B67BE">
        <w:rPr>
          <w:i/>
          <w:color w:val="2E74B5" w:themeColor="accent1" w:themeShade="BF"/>
        </w:rPr>
        <w:t xml:space="preserve">, and is on </w:t>
      </w:r>
      <w:r w:rsidR="008E7395" w:rsidRPr="001B67BE">
        <w:rPr>
          <w:i/>
          <w:color w:val="2E74B5" w:themeColor="accent1" w:themeShade="BF"/>
        </w:rPr>
        <w:t>its</w:t>
      </w:r>
      <w:r w:rsidRPr="001B67BE">
        <w:rPr>
          <w:i/>
          <w:color w:val="2E74B5" w:themeColor="accent1" w:themeShade="BF"/>
        </w:rPr>
        <w:t xml:space="preserve"> way to the Assembly floor.</w:t>
      </w:r>
    </w:p>
    <w:p w14:paraId="6BBB2368" w14:textId="66BF5BAF" w:rsidR="00753FA6" w:rsidRDefault="00753FA6" w:rsidP="007A4A8C">
      <w:pPr>
        <w:spacing w:after="0"/>
      </w:pPr>
    </w:p>
    <w:p w14:paraId="562D3478" w14:textId="64764405" w:rsidR="00B3636B" w:rsidRDefault="00B3636B" w:rsidP="007A4A8C">
      <w:pPr>
        <w:spacing w:after="0"/>
      </w:pPr>
    </w:p>
    <w:p w14:paraId="281C5753" w14:textId="624EC705" w:rsidR="00134DF9" w:rsidRDefault="00134DF9" w:rsidP="007A4A8C">
      <w:pPr>
        <w:spacing w:after="0"/>
      </w:pPr>
    </w:p>
    <w:p w14:paraId="054A4F76" w14:textId="2F52C966" w:rsidR="00753FA6" w:rsidRPr="00753FA6" w:rsidRDefault="00753FA6" w:rsidP="009201F4">
      <w:pPr>
        <w:spacing w:after="0"/>
        <w:ind w:left="810" w:hanging="90"/>
        <w:rPr>
          <w:b/>
          <w:sz w:val="18"/>
          <w:szCs w:val="18"/>
        </w:rPr>
      </w:pPr>
    </w:p>
    <w:sectPr w:rsidR="00753FA6" w:rsidRPr="00753FA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61F8A" w14:textId="77777777" w:rsidR="00057807" w:rsidRDefault="00057807" w:rsidP="00391997">
      <w:pPr>
        <w:spacing w:after="0" w:line="240" w:lineRule="auto"/>
      </w:pPr>
      <w:r>
        <w:separator/>
      </w:r>
    </w:p>
  </w:endnote>
  <w:endnote w:type="continuationSeparator" w:id="0">
    <w:p w14:paraId="7E840488" w14:textId="77777777" w:rsidR="00057807" w:rsidRDefault="00057807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4DC67" w14:textId="67F02D36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80E93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" o:allowincell="f" strokecolor="navy" strokeweight="1pt"/>
          </w:pict>
        </mc:Fallback>
      </mc:AlternateContent>
    </w:r>
    <w:r w:rsidR="00E347AB">
      <w:rPr>
        <w:rFonts w:ascii="Calibri" w:eastAsia="Times New Roman" w:hAnsi="Calibri" w:cs="Times New Roman"/>
        <w:b/>
        <w:i/>
        <w:color w:val="3737A5"/>
        <w:sz w:val="16"/>
        <w:szCs w:val="16"/>
      </w:rPr>
      <w:t>Agent Card Requirements - Recommendation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E347AB">
      <w:rPr>
        <w:rFonts w:ascii="Calibri" w:eastAsia="Times New Roman" w:hAnsi="Calibri" w:cs="Times New Roman"/>
        <w:bCs/>
        <w:i/>
        <w:color w:val="3737A5"/>
        <w:sz w:val="16"/>
        <w:szCs w:val="16"/>
      </w:rPr>
      <w:t>May 12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14:paraId="3EA83F4C" w14:textId="53E31E85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F43822" w:rsidRDefault="00F4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37905" w14:textId="77777777" w:rsidR="00057807" w:rsidRDefault="00057807" w:rsidP="00391997">
      <w:pPr>
        <w:spacing w:after="0" w:line="240" w:lineRule="auto"/>
      </w:pPr>
      <w:r>
        <w:separator/>
      </w:r>
    </w:p>
  </w:footnote>
  <w:footnote w:type="continuationSeparator" w:id="0">
    <w:p w14:paraId="1B8480EF" w14:textId="77777777" w:rsidR="00057807" w:rsidRDefault="00057807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F608A" w14:textId="2F8FC615" w:rsidR="00F43822" w:rsidRPr="00F43822" w:rsidRDefault="00E347AB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Agent Card Requirements - Recommendation</w:t>
    </w:r>
  </w:p>
  <w:p w14:paraId="17B7899E" w14:textId="77777777" w:rsidR="00391997" w:rsidRDefault="008313F9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4AD"/>
    <w:multiLevelType w:val="hybridMultilevel"/>
    <w:tmpl w:val="DACC5D74"/>
    <w:lvl w:ilvl="0" w:tplc="E1A06CB6">
      <w:start w:val="1"/>
      <w:numFmt w:val="decimal"/>
      <w:lvlText w:val="%1."/>
      <w:lvlJc w:val="left"/>
      <w:pPr>
        <w:ind w:left="821" w:hanging="360"/>
      </w:pPr>
    </w:lvl>
    <w:lvl w:ilvl="1" w:tplc="04090019">
      <w:start w:val="1"/>
      <w:numFmt w:val="lowerLetter"/>
      <w:lvlText w:val="%2."/>
      <w:lvlJc w:val="left"/>
      <w:pPr>
        <w:ind w:left="1541" w:hanging="360"/>
      </w:pPr>
    </w:lvl>
    <w:lvl w:ilvl="2" w:tplc="0409001B">
      <w:start w:val="1"/>
      <w:numFmt w:val="lowerRoman"/>
      <w:lvlText w:val="%3."/>
      <w:lvlJc w:val="right"/>
      <w:pPr>
        <w:ind w:left="2261" w:hanging="180"/>
      </w:pPr>
    </w:lvl>
    <w:lvl w:ilvl="3" w:tplc="0409000F">
      <w:start w:val="1"/>
      <w:numFmt w:val="decimal"/>
      <w:lvlText w:val="%4."/>
      <w:lvlJc w:val="left"/>
      <w:pPr>
        <w:ind w:left="2981" w:hanging="360"/>
      </w:pPr>
    </w:lvl>
    <w:lvl w:ilvl="4" w:tplc="04090019">
      <w:start w:val="1"/>
      <w:numFmt w:val="lowerLetter"/>
      <w:lvlText w:val="%5."/>
      <w:lvlJc w:val="left"/>
      <w:pPr>
        <w:ind w:left="3701" w:hanging="360"/>
      </w:pPr>
    </w:lvl>
    <w:lvl w:ilvl="5" w:tplc="0409001B">
      <w:start w:val="1"/>
      <w:numFmt w:val="lowerRoman"/>
      <w:lvlText w:val="%6."/>
      <w:lvlJc w:val="right"/>
      <w:pPr>
        <w:ind w:left="4421" w:hanging="180"/>
      </w:pPr>
    </w:lvl>
    <w:lvl w:ilvl="6" w:tplc="0409000F">
      <w:start w:val="1"/>
      <w:numFmt w:val="decimal"/>
      <w:lvlText w:val="%7."/>
      <w:lvlJc w:val="left"/>
      <w:pPr>
        <w:ind w:left="5141" w:hanging="360"/>
      </w:pPr>
    </w:lvl>
    <w:lvl w:ilvl="7" w:tplc="04090019">
      <w:start w:val="1"/>
      <w:numFmt w:val="lowerLetter"/>
      <w:lvlText w:val="%8."/>
      <w:lvlJc w:val="left"/>
      <w:pPr>
        <w:ind w:left="5861" w:hanging="360"/>
      </w:pPr>
    </w:lvl>
    <w:lvl w:ilvl="8" w:tplc="0409001B">
      <w:start w:val="1"/>
      <w:numFmt w:val="lowerRoman"/>
      <w:lvlText w:val="%9."/>
      <w:lvlJc w:val="right"/>
      <w:pPr>
        <w:ind w:left="6581" w:hanging="180"/>
      </w:pPr>
    </w:lvl>
  </w:abstractNum>
  <w:abstractNum w:abstractNumId="1">
    <w:nsid w:val="1FDD26AA"/>
    <w:multiLevelType w:val="hybridMultilevel"/>
    <w:tmpl w:val="214A91EA"/>
    <w:lvl w:ilvl="0" w:tplc="2842BB1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092C"/>
    <w:multiLevelType w:val="hybridMultilevel"/>
    <w:tmpl w:val="39F256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3C096FCB"/>
    <w:multiLevelType w:val="hybridMultilevel"/>
    <w:tmpl w:val="3F642C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36211B6"/>
    <w:multiLevelType w:val="multilevel"/>
    <w:tmpl w:val="CAC472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A2646"/>
    <w:multiLevelType w:val="hybridMultilevel"/>
    <w:tmpl w:val="0CEABB5C"/>
    <w:lvl w:ilvl="0" w:tplc="2AC8C8A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B5F14"/>
    <w:multiLevelType w:val="multilevel"/>
    <w:tmpl w:val="8974BA1C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7">
    <w:nsid w:val="5B53516C"/>
    <w:multiLevelType w:val="hybridMultilevel"/>
    <w:tmpl w:val="EB50F2F6"/>
    <w:lvl w:ilvl="0" w:tplc="F472400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E2"/>
    <w:rsid w:val="00002F6E"/>
    <w:rsid w:val="00057807"/>
    <w:rsid w:val="00060468"/>
    <w:rsid w:val="000764A2"/>
    <w:rsid w:val="000A61D0"/>
    <w:rsid w:val="000B01A4"/>
    <w:rsid w:val="00114EF2"/>
    <w:rsid w:val="00134DF9"/>
    <w:rsid w:val="001866F9"/>
    <w:rsid w:val="001A6921"/>
    <w:rsid w:val="001B0ADC"/>
    <w:rsid w:val="001B10FF"/>
    <w:rsid w:val="001B67BE"/>
    <w:rsid w:val="00202E4C"/>
    <w:rsid w:val="0023729A"/>
    <w:rsid w:val="00281D66"/>
    <w:rsid w:val="002C02C1"/>
    <w:rsid w:val="003110FB"/>
    <w:rsid w:val="00315D2D"/>
    <w:rsid w:val="00316860"/>
    <w:rsid w:val="00391997"/>
    <w:rsid w:val="003E7416"/>
    <w:rsid w:val="003F0A6A"/>
    <w:rsid w:val="004039AB"/>
    <w:rsid w:val="00417C80"/>
    <w:rsid w:val="00435662"/>
    <w:rsid w:val="00436A99"/>
    <w:rsid w:val="00442A3F"/>
    <w:rsid w:val="004F2608"/>
    <w:rsid w:val="00565923"/>
    <w:rsid w:val="005E102D"/>
    <w:rsid w:val="006660C6"/>
    <w:rsid w:val="006B0A7E"/>
    <w:rsid w:val="006D4662"/>
    <w:rsid w:val="00700DCA"/>
    <w:rsid w:val="00734DD7"/>
    <w:rsid w:val="00753FA6"/>
    <w:rsid w:val="007746E2"/>
    <w:rsid w:val="00774894"/>
    <w:rsid w:val="007765FD"/>
    <w:rsid w:val="00777545"/>
    <w:rsid w:val="007A4A8C"/>
    <w:rsid w:val="00826F9F"/>
    <w:rsid w:val="008313F9"/>
    <w:rsid w:val="00882EE9"/>
    <w:rsid w:val="008D5094"/>
    <w:rsid w:val="008E54D2"/>
    <w:rsid w:val="008E7395"/>
    <w:rsid w:val="008F0634"/>
    <w:rsid w:val="00900B15"/>
    <w:rsid w:val="00911EE1"/>
    <w:rsid w:val="009201F4"/>
    <w:rsid w:val="00923024"/>
    <w:rsid w:val="009264B2"/>
    <w:rsid w:val="00957E83"/>
    <w:rsid w:val="00961D8A"/>
    <w:rsid w:val="009705DB"/>
    <w:rsid w:val="009805E6"/>
    <w:rsid w:val="009914EB"/>
    <w:rsid w:val="00996A51"/>
    <w:rsid w:val="009D1938"/>
    <w:rsid w:val="009D7957"/>
    <w:rsid w:val="00A312E6"/>
    <w:rsid w:val="00A65F54"/>
    <w:rsid w:val="00AB71F7"/>
    <w:rsid w:val="00B11C15"/>
    <w:rsid w:val="00B3636B"/>
    <w:rsid w:val="00B70E4E"/>
    <w:rsid w:val="00BA2AD8"/>
    <w:rsid w:val="00BC0B03"/>
    <w:rsid w:val="00BC0F10"/>
    <w:rsid w:val="00BD5C43"/>
    <w:rsid w:val="00BD6AD6"/>
    <w:rsid w:val="00BE5F45"/>
    <w:rsid w:val="00BF6BBC"/>
    <w:rsid w:val="00C933E2"/>
    <w:rsid w:val="00CC30A8"/>
    <w:rsid w:val="00D2056E"/>
    <w:rsid w:val="00D22E65"/>
    <w:rsid w:val="00D926ED"/>
    <w:rsid w:val="00DA287B"/>
    <w:rsid w:val="00DC4C91"/>
    <w:rsid w:val="00DD1A10"/>
    <w:rsid w:val="00DE0ABD"/>
    <w:rsid w:val="00E347AB"/>
    <w:rsid w:val="00E87724"/>
    <w:rsid w:val="00E9081E"/>
    <w:rsid w:val="00E96CEA"/>
    <w:rsid w:val="00EC03A5"/>
    <w:rsid w:val="00ED0ED2"/>
    <w:rsid w:val="00EE36BF"/>
    <w:rsid w:val="00F046BC"/>
    <w:rsid w:val="00F27CF2"/>
    <w:rsid w:val="00F42C9A"/>
    <w:rsid w:val="00F43822"/>
    <w:rsid w:val="00F57E01"/>
    <w:rsid w:val="00FB3FFC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8F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3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3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853EF-6BA5-4DE3-BEE0-0E88EA5A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QMLaptop</cp:lastModifiedBy>
  <cp:revision>3</cp:revision>
  <cp:lastPrinted>2017-05-01T18:59:00Z</cp:lastPrinted>
  <dcterms:created xsi:type="dcterms:W3CDTF">2017-05-02T20:27:00Z</dcterms:created>
  <dcterms:modified xsi:type="dcterms:W3CDTF">2017-05-02T20:27:00Z</dcterms:modified>
</cp:coreProperties>
</file>